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027" w:rsidRDefault="002A1027" w:rsidP="002A1027">
      <w:pPr>
        <w:spacing w:before="0" w:line="240" w:lineRule="auto"/>
        <w:jc w:val="center"/>
        <w:rPr>
          <w:b/>
        </w:rPr>
      </w:pPr>
      <w:r>
        <w:rPr>
          <w:b/>
        </w:rPr>
        <w:t>SOAH DOCKET NO. 473-</w:t>
      </w:r>
      <w:r w:rsidR="00015A88">
        <w:rPr>
          <w:b/>
        </w:rPr>
        <w:t>16</w:t>
      </w:r>
      <w:r>
        <w:rPr>
          <w:b/>
        </w:rPr>
        <w:t>-</w:t>
      </w:r>
      <w:r w:rsidR="007D1E93">
        <w:rPr>
          <w:b/>
        </w:rPr>
        <w:t>2033.WS</w:t>
      </w:r>
    </w:p>
    <w:p w:rsidR="002A1027" w:rsidRDefault="00C83FC5" w:rsidP="002A1027">
      <w:pPr>
        <w:spacing w:before="0" w:line="240" w:lineRule="auto"/>
        <w:jc w:val="center"/>
        <w:rPr>
          <w:b/>
        </w:rPr>
      </w:pPr>
      <w:r>
        <w:rPr>
          <w:b/>
        </w:rPr>
        <w:t xml:space="preserve">PUC DOCKET NO. </w:t>
      </w:r>
      <w:r w:rsidR="007D1E93">
        <w:rPr>
          <w:b/>
        </w:rPr>
        <w:t>43146</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Pr="007D1E93" w:rsidRDefault="007D1E93" w:rsidP="007D1E93">
            <w:pPr>
              <w:spacing w:before="0" w:line="240" w:lineRule="auto"/>
              <w:jc w:val="left"/>
              <w:rPr>
                <w:b/>
                <w:caps/>
              </w:rPr>
            </w:pPr>
            <w:r w:rsidRPr="007D1E93">
              <w:rPr>
                <w:b/>
                <w:caps/>
              </w:rPr>
              <w:t>Complaint of Carol D. Gillespie Against Avalon Water Supply and Sewer Services Corporation (37985-I)</w:t>
            </w:r>
            <w:r w:rsidR="002A1027" w:rsidRPr="007D1E93">
              <w:rPr>
                <w:b/>
                <w:caps/>
              </w:rPr>
              <w:t xml:space="preserve"> </w:t>
            </w:r>
          </w:p>
        </w:tc>
        <w:tc>
          <w:tcPr>
            <w:tcW w:w="360" w:type="dxa"/>
            <w:hideMark/>
          </w:tcPr>
          <w:p w:rsidR="002A1027" w:rsidRDefault="002A1027">
            <w:pPr>
              <w:spacing w:before="0" w:line="240" w:lineRule="auto"/>
              <w:ind w:right="576"/>
              <w:rPr>
                <w:b/>
              </w:rPr>
            </w:pPr>
            <w:r>
              <w:rPr>
                <w:b/>
              </w:rPr>
              <w:t>§§§§</w:t>
            </w:r>
          </w:p>
          <w:p w:rsidR="00434D7B" w:rsidRDefault="00434D7B">
            <w:pPr>
              <w:spacing w:before="0" w:line="240" w:lineRule="auto"/>
              <w:ind w:right="576"/>
              <w:rPr>
                <w:b/>
              </w:rPr>
            </w:pPr>
          </w:p>
          <w:p w:rsidR="00434D7B" w:rsidRDefault="00434D7B">
            <w:pPr>
              <w:spacing w:before="0" w:line="240" w:lineRule="auto"/>
              <w:ind w:right="576"/>
              <w:rPr>
                <w:b/>
              </w:rPr>
            </w:pP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D71D81" w:rsidRDefault="00D71D81" w:rsidP="007D1E93">
      <w:pPr>
        <w:spacing w:before="0" w:line="240" w:lineRule="auto"/>
        <w:rPr>
          <w:b/>
        </w:rPr>
      </w:pPr>
    </w:p>
    <w:p w:rsidR="002A1027" w:rsidRDefault="002A1027" w:rsidP="002A1027">
      <w:pPr>
        <w:spacing w:before="0"/>
        <w:jc w:val="center"/>
      </w:pPr>
      <w:r>
        <w:rPr>
          <w:b/>
        </w:rPr>
        <w:t>DRAFT PRELIMINARY ORDER</w:t>
      </w:r>
    </w:p>
    <w:p w:rsidR="002A1027" w:rsidRDefault="002A1027" w:rsidP="002A1027">
      <w:pPr>
        <w:spacing w:before="0"/>
        <w:jc w:val="center"/>
        <w:rPr>
          <w:b/>
        </w:rPr>
      </w:pPr>
    </w:p>
    <w:p w:rsidR="00621213" w:rsidRDefault="002A1027" w:rsidP="00FE0F4D">
      <w:pPr>
        <w:spacing w:before="0"/>
      </w:pPr>
      <w:r>
        <w:rPr>
          <w:b/>
        </w:rPr>
        <w:tab/>
      </w:r>
      <w:r w:rsidR="00D71D81">
        <w:t xml:space="preserve">On </w:t>
      </w:r>
      <w:r w:rsidR="007D1E93">
        <w:t xml:space="preserve">August 24, 2014, Carol Gillespie filed a complaint with the Texas Commission on Environmental Quality against Avalon Water Supply and Sewer Services Corporation regarding alleged violations of Texas Water Code </w:t>
      </w:r>
      <w:r w:rsidR="00621213">
        <w:t xml:space="preserve">(TWC) </w:t>
      </w:r>
      <w:r w:rsidR="007D1E93">
        <w:t xml:space="preserve">§ 13.004.  </w:t>
      </w:r>
      <w:r w:rsidR="00FE0F4D">
        <w:t xml:space="preserve">Avalon is a Texas Water Code </w:t>
      </w:r>
      <w:r w:rsidR="00144635">
        <w:t xml:space="preserve">   </w:t>
      </w:r>
      <w:bookmarkStart w:id="0" w:name="_GoBack"/>
      <w:bookmarkEnd w:id="0"/>
      <w:r w:rsidR="0060583A">
        <w:t>c</w:t>
      </w:r>
      <w:r w:rsidR="00FE0F4D">
        <w:t>hapter 67 water supply and sewer service company located Avalon, Texas and serves approximately 340 customers.</w:t>
      </w:r>
      <w:r w:rsidR="00FE0F4D">
        <w:rPr>
          <w:rStyle w:val="FootnoteReference"/>
        </w:rPr>
        <w:footnoteReference w:id="1"/>
      </w:r>
      <w:r w:rsidR="00FE0F4D">
        <w:t xml:space="preserve">  </w:t>
      </w:r>
      <w:r w:rsidR="00621213" w:rsidRPr="00621213">
        <w:t xml:space="preserve">Ms. Gillespie </w:t>
      </w:r>
      <w:r w:rsidR="00621213">
        <w:t xml:space="preserve">alleges that Avalon violated TWC § </w:t>
      </w:r>
      <w:r w:rsidR="00621213" w:rsidRPr="00621213">
        <w:t>13.004(a</w:t>
      </w:r>
      <w:proofErr w:type="gramStart"/>
      <w:r w:rsidR="00621213" w:rsidRPr="00621213">
        <w:t>)(</w:t>
      </w:r>
      <w:proofErr w:type="gramEnd"/>
      <w:r w:rsidR="00621213" w:rsidRPr="00621213">
        <w:t xml:space="preserve">1) and (2) </w:t>
      </w:r>
      <w:r w:rsidR="00F37080">
        <w:t xml:space="preserve">by not </w:t>
      </w:r>
      <w:r w:rsidR="00621213">
        <w:t xml:space="preserve">operating in accordance with the </w:t>
      </w:r>
      <w:r w:rsidR="00F37080">
        <w:t>bylaws</w:t>
      </w:r>
      <w:r w:rsidR="00FE0F4D">
        <w:t xml:space="preserve"> </w:t>
      </w:r>
      <w:r w:rsidR="00104A9C">
        <w:t>or</w:t>
      </w:r>
      <w:r w:rsidR="00FE0F4D">
        <w:t xml:space="preserve"> in a manner that complies with the requirements for classification as a nonprofit water service corporation water supply corporation.</w:t>
      </w:r>
      <w:r w:rsidR="00F37080">
        <w:rPr>
          <w:rStyle w:val="FootnoteReference"/>
        </w:rPr>
        <w:footnoteReference w:id="2"/>
      </w:r>
      <w:r w:rsidR="00621213">
        <w:t xml:space="preserve">  </w:t>
      </w:r>
    </w:p>
    <w:p w:rsidR="00551E82" w:rsidRDefault="00FE0F4D" w:rsidP="00104A9C">
      <w:pPr>
        <w:spacing w:before="0"/>
        <w:ind w:firstLine="720"/>
      </w:pPr>
      <w:r>
        <w:t>On September 1, 2014, this case transferred to the Public Utility Commission of Texas (Commission).</w:t>
      </w:r>
      <w:r>
        <w:rPr>
          <w:rStyle w:val="FootnoteReference"/>
        </w:rPr>
        <w:footnoteReference w:id="3"/>
      </w:r>
      <w:r>
        <w:t xml:space="preserve">  </w:t>
      </w:r>
      <w:r w:rsidR="002A1027">
        <w:t>This docket was referred to the State Office of</w:t>
      </w:r>
      <w:r>
        <w:t xml:space="preserve"> Administrative Hearings (SOAH) on </w:t>
      </w:r>
      <w:r w:rsidR="007D1E93">
        <w:t>January 25</w:t>
      </w:r>
      <w:r w:rsidR="00BF1C6D">
        <w:t>, 2016</w:t>
      </w:r>
      <w:r w:rsidR="002A1027">
        <w:t xml:space="preserve">. </w:t>
      </w:r>
      <w:r w:rsidR="00102D05">
        <w:t xml:space="preserve"> L</w:t>
      </w:r>
      <w:r w:rsidR="002A1027">
        <w:t>ists</w:t>
      </w:r>
      <w:r w:rsidR="00102D05">
        <w:t xml:space="preserve"> of issues</w:t>
      </w:r>
      <w:r w:rsidR="002A1027">
        <w:t xml:space="preserve"> were timely filed by </w:t>
      </w:r>
      <w:r w:rsidR="007D1E93">
        <w:t xml:space="preserve">Carol Gillespie, Avalon, </w:t>
      </w:r>
      <w:r w:rsidR="002A1027">
        <w:t xml:space="preserve">and Commission Staff.   </w:t>
      </w:r>
    </w:p>
    <w:p w:rsidR="002A1027" w:rsidRDefault="00551E82" w:rsidP="002A1027">
      <w:pPr>
        <w:keepNext/>
        <w:spacing w:before="0"/>
        <w:jc w:val="center"/>
        <w:rPr>
          <w:b/>
        </w:rPr>
      </w:pPr>
      <w:r>
        <w:rPr>
          <w:b/>
        </w:rPr>
        <w:t xml:space="preserve">I.  </w:t>
      </w:r>
      <w:r w:rsidR="002A1027">
        <w:rPr>
          <w:b/>
        </w:rPr>
        <w:t xml:space="preserve">Issues to be </w:t>
      </w:r>
      <w:proofErr w:type="gramStart"/>
      <w:r w:rsidR="002A1027">
        <w:rPr>
          <w:b/>
        </w:rPr>
        <w:t>Addressed</w:t>
      </w:r>
      <w:proofErr w:type="gramEnd"/>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4"/>
      </w:r>
      <w:r>
        <w:t xml:space="preserve">  After reviewing the pleadings submitted by the parties, the Commission identifies the following issues that must be addressed in this docket:  </w:t>
      </w:r>
    </w:p>
    <w:p w:rsidR="0030101A" w:rsidRDefault="00FE0F4D" w:rsidP="007C770C">
      <w:pPr>
        <w:pStyle w:val="FOFNumbered"/>
      </w:pPr>
      <w:r>
        <w:lastRenderedPageBreak/>
        <w:t>Is Avalon failing to comply with TWC § 13.004?</w:t>
      </w:r>
    </w:p>
    <w:p w:rsidR="00FE0F4D" w:rsidRDefault="00FE0F4D" w:rsidP="007C770C">
      <w:pPr>
        <w:pStyle w:val="FOFNumbered"/>
      </w:pPr>
      <w:r>
        <w:t xml:space="preserve">Is Avalon failing to conduct annual or special meetings in compliance with </w:t>
      </w:r>
      <w:r w:rsidR="005B7AB0">
        <w:t xml:space="preserve">            </w:t>
      </w:r>
      <w:r>
        <w:t>Section 67.007?  TWC § 13.004(a</w:t>
      </w:r>
      <w:proofErr w:type="gramStart"/>
      <w:r>
        <w:t>)(</w:t>
      </w:r>
      <w:proofErr w:type="gramEnd"/>
      <w:r>
        <w:t>1).</w:t>
      </w:r>
    </w:p>
    <w:p w:rsidR="00FE0F4D" w:rsidRDefault="00FE0F4D" w:rsidP="007C770C">
      <w:pPr>
        <w:pStyle w:val="FOFNumbered"/>
      </w:pPr>
      <w:r>
        <w:t xml:space="preserve">Is Avalon operating in a manner that fails to comply with the </w:t>
      </w:r>
      <w:r w:rsidR="00C94CFB">
        <w:t>requirements</w:t>
      </w:r>
      <w:r>
        <w:t xml:space="preserve"> for classification as a nonprofit water supply or sewer service corporation as prescribed by TWC §§ 13.002(11) and (24)?  TWC § 13.004(a</w:t>
      </w:r>
      <w:proofErr w:type="gramStart"/>
      <w:r>
        <w:t>)(</w:t>
      </w:r>
      <w:proofErr w:type="gramEnd"/>
      <w:r>
        <w:t>2).</w:t>
      </w:r>
    </w:p>
    <w:p w:rsidR="00FE0F4D" w:rsidRPr="0030101A" w:rsidRDefault="00FE0F4D" w:rsidP="007C770C">
      <w:pPr>
        <w:pStyle w:val="FOFNumbered"/>
      </w:pPr>
      <w:r>
        <w:t>What should the Commission require</w:t>
      </w:r>
      <w:r w:rsidR="00C94CFB">
        <w:t xml:space="preserve"> of Avalon if it is failing to comply with TWC </w:t>
      </w:r>
      <w:r w:rsidR="00104A9C">
        <w:t xml:space="preserve">         </w:t>
      </w:r>
      <w:r w:rsidR="00C94CFB">
        <w:t>§ 13.004?</w:t>
      </w:r>
    </w:p>
    <w:p w:rsidR="00C4545E" w:rsidRPr="002A25C1" w:rsidRDefault="002A1027" w:rsidP="002A25C1">
      <w:pPr>
        <w:pStyle w:val="ItemList"/>
        <w:spacing w:before="240"/>
        <w:ind w:left="0" w:firstLine="720"/>
      </w:pP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w:t>
      </w:r>
      <w:r w:rsidRPr="004A3EAC">
        <w:t>Tex. Gov’t Code Ann.</w:t>
      </w:r>
      <w:r>
        <w:t xml:space="preserve"> § 2003.049(e).</w:t>
      </w:r>
    </w:p>
    <w:p w:rsidR="00D4520B" w:rsidRDefault="00D4520B" w:rsidP="002A1027">
      <w:pPr>
        <w:spacing w:before="0"/>
        <w:jc w:val="center"/>
        <w:rPr>
          <w:b/>
        </w:rPr>
      </w:pPr>
    </w:p>
    <w:p w:rsidR="002A1027" w:rsidRPr="00A716C4" w:rsidRDefault="00EA7E0A" w:rsidP="002A1027">
      <w:pPr>
        <w:spacing w:before="0"/>
        <w:jc w:val="center"/>
      </w:pPr>
      <w:r>
        <w:rPr>
          <w:b/>
        </w:rPr>
        <w:t>II</w:t>
      </w:r>
      <w:proofErr w:type="gramStart"/>
      <w:r w:rsidR="002A1027" w:rsidRPr="00A716C4">
        <w:rPr>
          <w:b/>
        </w:rPr>
        <w:t>.  Effect</w:t>
      </w:r>
      <w:proofErr w:type="gramEnd"/>
      <w:r w:rsidR="002A1027" w:rsidRPr="00A716C4">
        <w:rPr>
          <w:b/>
        </w:rPr>
        <w:t xml:space="preserve"> of Preliminary Order</w:t>
      </w:r>
    </w:p>
    <w:p w:rsidR="00B105EF" w:rsidRDefault="002A1027" w:rsidP="00104A9C">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04A9C" w:rsidRDefault="00104A9C" w:rsidP="00104A9C"/>
    <w:p w:rsidR="00104A9C" w:rsidRDefault="00104A9C" w:rsidP="00104A9C"/>
    <w:p w:rsidR="00B105EF" w:rsidRDefault="00B105EF" w:rsidP="00F3708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105EF" w:rsidRDefault="00B105EF" w:rsidP="00FA05B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A05B0" w:rsidRPr="003C35B5" w:rsidRDefault="00FA05B0" w:rsidP="00FA05B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F37080">
        <w:rPr>
          <w:b/>
        </w:rPr>
        <w:t xml:space="preserve">March </w:t>
      </w:r>
      <w:r>
        <w:rPr>
          <w:b/>
        </w:rPr>
        <w:t>2016</w:t>
      </w:r>
      <w:r w:rsidRPr="003C35B5">
        <w:rPr>
          <w:b/>
        </w:rPr>
        <w:t>.</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FA05B0" w:rsidRPr="003C35B5" w:rsidRDefault="00FA05B0" w:rsidP="00FA05B0">
      <w:pPr>
        <w:spacing w:before="0" w:line="240" w:lineRule="auto"/>
        <w:ind w:firstLine="3780"/>
        <w:rPr>
          <w:b/>
        </w:rPr>
      </w:pPr>
    </w:p>
    <w:p w:rsidR="00FA05B0" w:rsidRPr="003C35B5" w:rsidRDefault="00FA05B0" w:rsidP="00FA05B0">
      <w:pPr>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FA05B0" w:rsidRDefault="00FA05B0" w:rsidP="00FA05B0">
      <w:pPr>
        <w:spacing w:before="0" w:line="240" w:lineRule="auto"/>
        <w:ind w:firstLine="3780"/>
        <w:rPr>
          <w:b/>
        </w:rPr>
      </w:pPr>
    </w:p>
    <w:p w:rsidR="00FA05B0" w:rsidRPr="003C35B5" w:rsidRDefault="00FA05B0" w:rsidP="00FA05B0">
      <w:pPr>
        <w:spacing w:before="0" w:line="240" w:lineRule="auto"/>
        <w:ind w:firstLine="3780"/>
        <w:rPr>
          <w:b/>
        </w:rPr>
      </w:pPr>
    </w:p>
    <w:p w:rsidR="00FA05B0" w:rsidRPr="003C35B5" w:rsidRDefault="00FA05B0"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FA05B0" w:rsidRPr="003C35B5" w:rsidRDefault="00621213" w:rsidP="00FA05B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BRANDY </w:t>
      </w:r>
      <w:r w:rsidR="00FA05B0">
        <w:rPr>
          <w:b/>
        </w:rPr>
        <w:t>MARTY</w:t>
      </w:r>
      <w:r>
        <w:rPr>
          <w:b/>
        </w:rPr>
        <w:t xml:space="preserve"> MARQUEZ</w:t>
      </w:r>
      <w:r w:rsidR="00FA05B0" w:rsidRPr="003C35B5">
        <w:rPr>
          <w:b/>
        </w:rPr>
        <w:t xml:space="preserve">, COMMISSIONER </w:t>
      </w:r>
    </w:p>
    <w:p w:rsidR="002A1027" w:rsidRDefault="002A1027" w:rsidP="002A1027">
      <w:pPr>
        <w:spacing w:before="0" w:line="240" w:lineRule="auto"/>
        <w:rPr>
          <w:b/>
        </w:rPr>
      </w:pPr>
    </w:p>
    <w:p w:rsidR="002A1027" w:rsidRDefault="002A1027" w:rsidP="002A1027">
      <w:pPr>
        <w:spacing w:before="0" w:line="240" w:lineRule="auto"/>
        <w:rPr>
          <w:b/>
        </w:rPr>
      </w:pPr>
    </w:p>
    <w:p w:rsidR="0015538E" w:rsidRDefault="002A1027">
      <w:r>
        <w:rPr>
          <w:sz w:val="16"/>
          <w:szCs w:val="16"/>
        </w:rPr>
        <w:fldChar w:fldCharType="begin"/>
      </w:r>
      <w:r>
        <w:rPr>
          <w:sz w:val="16"/>
          <w:szCs w:val="16"/>
        </w:rPr>
        <w:instrText xml:space="preserve"> FILENAME \* Lower\p \* MERGEFORMAT </w:instrText>
      </w:r>
      <w:r>
        <w:rPr>
          <w:sz w:val="16"/>
          <w:szCs w:val="16"/>
        </w:rPr>
        <w:fldChar w:fldCharType="separate"/>
      </w:r>
      <w:r w:rsidR="00E602FB">
        <w:rPr>
          <w:noProof/>
          <w:sz w:val="16"/>
          <w:szCs w:val="16"/>
        </w:rPr>
        <w:t>q:\cadm\orders\prelim\43000\43146 dpo.docx</w:t>
      </w:r>
      <w:r>
        <w:rPr>
          <w:noProof/>
          <w:sz w:val="16"/>
          <w:szCs w:val="16"/>
        </w:rPr>
        <w:fldChar w:fldCharType="end"/>
      </w:r>
    </w:p>
    <w:sectPr w:rsidR="0015538E" w:rsidSect="009A5B6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C08" w:rsidRDefault="00667C08" w:rsidP="002A1027">
      <w:pPr>
        <w:spacing w:before="0" w:line="240" w:lineRule="auto"/>
      </w:pPr>
      <w:r>
        <w:separator/>
      </w:r>
    </w:p>
  </w:endnote>
  <w:endnote w:type="continuationSeparator" w:id="0">
    <w:p w:rsidR="00667C08" w:rsidRDefault="00667C08"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C08" w:rsidRDefault="00667C08" w:rsidP="002A1027">
      <w:pPr>
        <w:spacing w:before="0" w:line="240" w:lineRule="auto"/>
      </w:pPr>
      <w:r>
        <w:separator/>
      </w:r>
    </w:p>
  </w:footnote>
  <w:footnote w:type="continuationSeparator" w:id="0">
    <w:p w:rsidR="00667C08" w:rsidRDefault="00667C08" w:rsidP="002A1027">
      <w:pPr>
        <w:spacing w:before="0" w:line="240" w:lineRule="auto"/>
      </w:pPr>
      <w:r>
        <w:continuationSeparator/>
      </w:r>
    </w:p>
  </w:footnote>
  <w:footnote w:id="1">
    <w:p w:rsidR="00FE0F4D" w:rsidRDefault="00FE0F4D" w:rsidP="00FE0F4D">
      <w:pPr>
        <w:pStyle w:val="FootnoteText"/>
      </w:pPr>
      <w:r>
        <w:rPr>
          <w:rStyle w:val="FootnoteReference"/>
        </w:rPr>
        <w:footnoteRef/>
      </w:r>
      <w:r>
        <w:t xml:space="preserve"> </w:t>
      </w:r>
      <w:r w:rsidR="00104A9C">
        <w:t xml:space="preserve">Response of Avalon Water Supply and Sewer Services Corporation to the Complaint of Carol Gillespie at 2 (March 4, 2015). </w:t>
      </w:r>
    </w:p>
  </w:footnote>
  <w:footnote w:id="2">
    <w:p w:rsidR="00F37080" w:rsidRDefault="00F37080">
      <w:pPr>
        <w:pStyle w:val="FootnoteText"/>
      </w:pPr>
      <w:r>
        <w:rPr>
          <w:rStyle w:val="FootnoteReference"/>
        </w:rPr>
        <w:footnoteRef/>
      </w:r>
      <w:r>
        <w:t xml:space="preserve"> </w:t>
      </w:r>
      <w:r>
        <w:t>Letter from Carol Gillespie, Response to Order No. 3 at 2 (March 27, 2015).</w:t>
      </w:r>
    </w:p>
  </w:footnote>
  <w:footnote w:id="3">
    <w:p w:rsidR="00FE0F4D" w:rsidRDefault="00FE0F4D" w:rsidP="00FE0F4D">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4">
    <w:p w:rsidR="003405EE" w:rsidRDefault="003405EE" w:rsidP="002A1027">
      <w:pPr>
        <w:pStyle w:val="FootnoteText"/>
        <w:rPr>
          <w:lang w:val="pt-BR"/>
        </w:rPr>
      </w:pPr>
      <w:r>
        <w:rPr>
          <w:rStyle w:val="FootnoteReference"/>
        </w:rPr>
        <w:footnoteRef/>
      </w:r>
      <w:r>
        <w:rPr>
          <w:lang w:val="pt-BR"/>
        </w:rPr>
        <w:t xml:space="preserve">  </w:t>
      </w:r>
      <w:r w:rsidRPr="00AC1C4B">
        <w:rPr>
          <w:lang w:val="pt-BR"/>
        </w:rPr>
        <w:t>Tex. Gov’t Code Ann.</w:t>
      </w:r>
      <w:r>
        <w:rPr>
          <w:lang w:val="pt-BR"/>
        </w:rPr>
        <w:t xml:space="preserve"> § 2003.049(e) (</w:t>
      </w:r>
      <w:r w:rsidR="00AC1C4B">
        <w:rPr>
          <w:lang w:val="pt-BR"/>
        </w:rPr>
        <w:t>West</w:t>
      </w:r>
      <w:r>
        <w:rPr>
          <w:lang w:val="pt-BR"/>
        </w:rPr>
        <w:t xml:space="preserve">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EE" w:rsidRPr="009A5B64" w:rsidRDefault="003405EE" w:rsidP="009A5B64">
    <w:pPr>
      <w:pStyle w:val="Header"/>
      <w:tabs>
        <w:tab w:val="left" w:pos="3810"/>
      </w:tabs>
      <w:rPr>
        <w:rStyle w:val="PageNumber"/>
        <w:b/>
        <w:sz w:val="20"/>
      </w:rPr>
    </w:pPr>
    <w:r>
      <w:rPr>
        <w:b/>
        <w:sz w:val="20"/>
      </w:rPr>
      <w:t xml:space="preserve">PUC Docket No. </w:t>
    </w:r>
    <w:r w:rsidR="00621213">
      <w:rPr>
        <w:b/>
        <w:sz w:val="20"/>
      </w:rPr>
      <w:t>43146</w:t>
    </w:r>
    <w:r w:rsidRPr="009A5B64">
      <w:rPr>
        <w:b/>
        <w:sz w:val="20"/>
      </w:rPr>
      <w:tab/>
      <w:t xml:space="preserve">Draft </w:t>
    </w:r>
    <w:r w:rsidRPr="009A5B64">
      <w:rPr>
        <w:b/>
        <w:sz w:val="20"/>
      </w:rPr>
      <w:tab/>
      <w:t>Preliminary Order</w:t>
    </w:r>
    <w:r w:rsidRPr="009A5B64">
      <w:rPr>
        <w:b/>
        <w:sz w:val="20"/>
      </w:rPr>
      <w:tab/>
      <w:t xml:space="preserve">Page </w:t>
    </w:r>
    <w:r w:rsidRPr="009A5B64">
      <w:rPr>
        <w:rStyle w:val="PageNumber"/>
        <w:b/>
        <w:sz w:val="20"/>
      </w:rPr>
      <w:fldChar w:fldCharType="begin"/>
    </w:r>
    <w:r w:rsidRPr="009A5B64">
      <w:rPr>
        <w:rStyle w:val="PageNumber"/>
        <w:b/>
        <w:sz w:val="20"/>
      </w:rPr>
      <w:instrText xml:space="preserve"> PAGE </w:instrText>
    </w:r>
    <w:r w:rsidRPr="009A5B64">
      <w:rPr>
        <w:rStyle w:val="PageNumber"/>
        <w:b/>
        <w:sz w:val="20"/>
      </w:rPr>
      <w:fldChar w:fldCharType="separate"/>
    </w:r>
    <w:r w:rsidR="00144635">
      <w:rPr>
        <w:rStyle w:val="PageNumber"/>
        <w:b/>
        <w:noProof/>
        <w:sz w:val="20"/>
      </w:rPr>
      <w:t>3</w:t>
    </w:r>
    <w:r w:rsidRPr="009A5B64">
      <w:rPr>
        <w:rStyle w:val="PageNumber"/>
        <w:b/>
        <w:sz w:val="20"/>
      </w:rPr>
      <w:fldChar w:fldCharType="end"/>
    </w:r>
    <w:r w:rsidRPr="009A5B64">
      <w:rPr>
        <w:rStyle w:val="PageNumber"/>
        <w:b/>
        <w:sz w:val="20"/>
      </w:rPr>
      <w:t xml:space="preserve"> of </w:t>
    </w:r>
    <w:r w:rsidRPr="009A5B64">
      <w:rPr>
        <w:rStyle w:val="PageNumber"/>
        <w:b/>
        <w:sz w:val="20"/>
      </w:rPr>
      <w:fldChar w:fldCharType="begin"/>
    </w:r>
    <w:r w:rsidRPr="009A5B64">
      <w:rPr>
        <w:rStyle w:val="PageNumber"/>
        <w:b/>
        <w:sz w:val="20"/>
      </w:rPr>
      <w:instrText xml:space="preserve"> NUMPAGES </w:instrText>
    </w:r>
    <w:r w:rsidRPr="009A5B64">
      <w:rPr>
        <w:rStyle w:val="PageNumber"/>
        <w:b/>
        <w:sz w:val="20"/>
      </w:rPr>
      <w:fldChar w:fldCharType="separate"/>
    </w:r>
    <w:r w:rsidR="00144635">
      <w:rPr>
        <w:rStyle w:val="PageNumber"/>
        <w:b/>
        <w:noProof/>
        <w:sz w:val="20"/>
      </w:rPr>
      <w:t>3</w:t>
    </w:r>
    <w:r w:rsidRPr="009A5B64">
      <w:rPr>
        <w:rStyle w:val="PageNumber"/>
        <w:b/>
        <w:sz w:val="20"/>
      </w:rPr>
      <w:fldChar w:fldCharType="end"/>
    </w:r>
  </w:p>
  <w:p w:rsidR="003405EE" w:rsidRPr="009A5B64" w:rsidRDefault="003405EE" w:rsidP="009A5B64">
    <w:pPr>
      <w:pStyle w:val="Header"/>
      <w:rPr>
        <w:rStyle w:val="PageNumber"/>
        <w:b/>
        <w:sz w:val="20"/>
      </w:rPr>
    </w:pPr>
    <w:r>
      <w:rPr>
        <w:rStyle w:val="PageNumber"/>
        <w:b/>
        <w:sz w:val="20"/>
      </w:rPr>
      <w:t>SOAH Docket No. 473-1</w:t>
    </w:r>
    <w:r w:rsidR="00015A88">
      <w:rPr>
        <w:rStyle w:val="PageNumber"/>
        <w:b/>
        <w:sz w:val="20"/>
      </w:rPr>
      <w:t>6</w:t>
    </w:r>
    <w:r>
      <w:rPr>
        <w:rStyle w:val="PageNumber"/>
        <w:b/>
        <w:sz w:val="20"/>
      </w:rPr>
      <w:t>-</w:t>
    </w:r>
    <w:r w:rsidR="00621213">
      <w:rPr>
        <w:rStyle w:val="PageNumber"/>
        <w:b/>
        <w:sz w:val="20"/>
      </w:rPr>
      <w:t>2033.WS</w:t>
    </w:r>
  </w:p>
  <w:p w:rsidR="003405EE" w:rsidRDefault="003405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DB9"/>
    <w:multiLevelType w:val="hybridMultilevel"/>
    <w:tmpl w:val="7B3AC640"/>
    <w:lvl w:ilvl="0" w:tplc="6B4240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D2368"/>
    <w:multiLevelType w:val="hybridMultilevel"/>
    <w:tmpl w:val="992A5966"/>
    <w:lvl w:ilvl="0" w:tplc="CA7A6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F3D5E"/>
    <w:multiLevelType w:val="multilevel"/>
    <w:tmpl w:val="EF12084C"/>
    <w:lvl w:ilvl="0">
      <w:start w:val="1"/>
      <w:numFmt w:val="decimal"/>
      <w:pStyle w:val="FOFNumbered"/>
      <w:lvlText w:val="%1."/>
      <w:lvlJc w:val="left"/>
      <w:pPr>
        <w:tabs>
          <w:tab w:val="num" w:pos="720"/>
        </w:tabs>
        <w:ind w:left="720" w:hanging="720"/>
      </w:p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1B62153"/>
    <w:multiLevelType w:val="multilevel"/>
    <w:tmpl w:val="3A74DB06"/>
    <w:lvl w:ilvl="0">
      <w:start w:val="1"/>
      <w:numFmt w:val="decimal"/>
      <w:lvlText w:val="%1."/>
      <w:lvlJc w:val="left"/>
      <w:pPr>
        <w:tabs>
          <w:tab w:val="num" w:pos="720"/>
        </w:tabs>
        <w:ind w:left="720" w:hanging="720"/>
      </w:pPr>
    </w:lvl>
    <w:lvl w:ilvl="1">
      <w:start w:val="1"/>
      <w:numFmt w:val="lowerLetter"/>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021171"/>
    <w:multiLevelType w:val="hybridMultilevel"/>
    <w:tmpl w:val="BB321C7E"/>
    <w:lvl w:ilvl="0" w:tplc="8CC836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71AE9"/>
    <w:multiLevelType w:val="hybridMultilevel"/>
    <w:tmpl w:val="2EB40FB8"/>
    <w:lvl w:ilvl="0" w:tplc="481A655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11" w15:restartNumberingAfterBreak="0">
    <w:nsid w:val="42851F21"/>
    <w:multiLevelType w:val="hybridMultilevel"/>
    <w:tmpl w:val="96781FFC"/>
    <w:lvl w:ilvl="0" w:tplc="8CC836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240A46"/>
    <w:multiLevelType w:val="hybridMultilevel"/>
    <w:tmpl w:val="CD26D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D357CCF"/>
    <w:multiLevelType w:val="hybridMultilevel"/>
    <w:tmpl w:val="DA5A4D70"/>
    <w:lvl w:ilvl="0" w:tplc="53043FC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343FE"/>
    <w:multiLevelType w:val="hybridMultilevel"/>
    <w:tmpl w:val="667C448C"/>
    <w:lvl w:ilvl="0" w:tplc="08980FA8">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num>
  <w:num w:numId="7">
    <w:abstractNumId w:val="13"/>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2"/>
  </w:num>
  <w:num w:numId="15">
    <w:abstractNumId w:val="0"/>
  </w:num>
  <w:num w:numId="16">
    <w:abstractNumId w:val="12"/>
  </w:num>
  <w:num w:numId="17">
    <w:abstractNumId w:val="3"/>
  </w:num>
  <w:num w:numId="18">
    <w:abstractNumId w:val="11"/>
  </w:num>
  <w:num w:numId="19">
    <w:abstractNumId w:val="14"/>
  </w:num>
  <w:num w:numId="20">
    <w:abstractNumId w:val="8"/>
  </w:num>
  <w:num w:numId="21">
    <w:abstractNumId w:val="7"/>
  </w:num>
  <w:num w:numId="22">
    <w:abstractNumId w:val="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15A88"/>
    <w:rsid w:val="00062A49"/>
    <w:rsid w:val="00084A05"/>
    <w:rsid w:val="000B5B6C"/>
    <w:rsid w:val="000C2581"/>
    <w:rsid w:val="000C3E1D"/>
    <w:rsid w:val="0010244B"/>
    <w:rsid w:val="00102D05"/>
    <w:rsid w:val="00104A9C"/>
    <w:rsid w:val="00126F16"/>
    <w:rsid w:val="00134510"/>
    <w:rsid w:val="00144635"/>
    <w:rsid w:val="00145F0E"/>
    <w:rsid w:val="0015538E"/>
    <w:rsid w:val="00157D49"/>
    <w:rsid w:val="00171CC9"/>
    <w:rsid w:val="001A1621"/>
    <w:rsid w:val="001A6429"/>
    <w:rsid w:val="001E68A7"/>
    <w:rsid w:val="00204E3A"/>
    <w:rsid w:val="002110FB"/>
    <w:rsid w:val="00233601"/>
    <w:rsid w:val="00275096"/>
    <w:rsid w:val="002810C3"/>
    <w:rsid w:val="002A1027"/>
    <w:rsid w:val="002A25C1"/>
    <w:rsid w:val="002B3F44"/>
    <w:rsid w:val="002E47FC"/>
    <w:rsid w:val="0030101A"/>
    <w:rsid w:val="00302FCF"/>
    <w:rsid w:val="003405EE"/>
    <w:rsid w:val="003415E3"/>
    <w:rsid w:val="00392737"/>
    <w:rsid w:val="003C02D6"/>
    <w:rsid w:val="003D4581"/>
    <w:rsid w:val="00400E4C"/>
    <w:rsid w:val="00424B08"/>
    <w:rsid w:val="004346F0"/>
    <w:rsid w:val="00434D7B"/>
    <w:rsid w:val="004546B6"/>
    <w:rsid w:val="004608D3"/>
    <w:rsid w:val="00481DD3"/>
    <w:rsid w:val="004A3EAC"/>
    <w:rsid w:val="004B5CBD"/>
    <w:rsid w:val="004C1EAF"/>
    <w:rsid w:val="004E3083"/>
    <w:rsid w:val="005133DF"/>
    <w:rsid w:val="00526A72"/>
    <w:rsid w:val="00542DE3"/>
    <w:rsid w:val="00551E82"/>
    <w:rsid w:val="0057275D"/>
    <w:rsid w:val="005B5534"/>
    <w:rsid w:val="005B7AB0"/>
    <w:rsid w:val="005C6D6F"/>
    <w:rsid w:val="005F1416"/>
    <w:rsid w:val="0060583A"/>
    <w:rsid w:val="006071C8"/>
    <w:rsid w:val="006141EB"/>
    <w:rsid w:val="00621213"/>
    <w:rsid w:val="00667C08"/>
    <w:rsid w:val="006A00DE"/>
    <w:rsid w:val="006A1B72"/>
    <w:rsid w:val="006E1604"/>
    <w:rsid w:val="006F5CE9"/>
    <w:rsid w:val="007165D7"/>
    <w:rsid w:val="007B79CA"/>
    <w:rsid w:val="007C770C"/>
    <w:rsid w:val="007D1E93"/>
    <w:rsid w:val="007D698B"/>
    <w:rsid w:val="007E01FB"/>
    <w:rsid w:val="007E6810"/>
    <w:rsid w:val="00805700"/>
    <w:rsid w:val="0082270A"/>
    <w:rsid w:val="00826C06"/>
    <w:rsid w:val="00857F31"/>
    <w:rsid w:val="008829E5"/>
    <w:rsid w:val="008A7F74"/>
    <w:rsid w:val="008C081C"/>
    <w:rsid w:val="008C47D4"/>
    <w:rsid w:val="008E0E7F"/>
    <w:rsid w:val="008F1F5B"/>
    <w:rsid w:val="00933B17"/>
    <w:rsid w:val="00944779"/>
    <w:rsid w:val="00961B87"/>
    <w:rsid w:val="00962667"/>
    <w:rsid w:val="00972E46"/>
    <w:rsid w:val="00992CC8"/>
    <w:rsid w:val="009A5B64"/>
    <w:rsid w:val="009C2FE3"/>
    <w:rsid w:val="009F4348"/>
    <w:rsid w:val="00A25552"/>
    <w:rsid w:val="00A451E6"/>
    <w:rsid w:val="00A463DB"/>
    <w:rsid w:val="00A716C4"/>
    <w:rsid w:val="00A866A7"/>
    <w:rsid w:val="00AB1DDB"/>
    <w:rsid w:val="00AC1C4B"/>
    <w:rsid w:val="00B0271B"/>
    <w:rsid w:val="00B105EF"/>
    <w:rsid w:val="00B2514C"/>
    <w:rsid w:val="00B25F87"/>
    <w:rsid w:val="00B669A2"/>
    <w:rsid w:val="00B8610D"/>
    <w:rsid w:val="00BE1D8E"/>
    <w:rsid w:val="00BF1C6D"/>
    <w:rsid w:val="00BF3C39"/>
    <w:rsid w:val="00C173F5"/>
    <w:rsid w:val="00C2507B"/>
    <w:rsid w:val="00C3630B"/>
    <w:rsid w:val="00C4545E"/>
    <w:rsid w:val="00C83FC5"/>
    <w:rsid w:val="00C94CFB"/>
    <w:rsid w:val="00CB2857"/>
    <w:rsid w:val="00CB2D17"/>
    <w:rsid w:val="00CE4480"/>
    <w:rsid w:val="00D13EDE"/>
    <w:rsid w:val="00D30BEA"/>
    <w:rsid w:val="00D31AA6"/>
    <w:rsid w:val="00D4520B"/>
    <w:rsid w:val="00D625DF"/>
    <w:rsid w:val="00D71D81"/>
    <w:rsid w:val="00DD6CE5"/>
    <w:rsid w:val="00E171EE"/>
    <w:rsid w:val="00E24AF0"/>
    <w:rsid w:val="00E33EC0"/>
    <w:rsid w:val="00E601DA"/>
    <w:rsid w:val="00E602FB"/>
    <w:rsid w:val="00EA7E0A"/>
    <w:rsid w:val="00EC6882"/>
    <w:rsid w:val="00ED5B13"/>
    <w:rsid w:val="00F37080"/>
    <w:rsid w:val="00FA05B0"/>
    <w:rsid w:val="00FA2F58"/>
    <w:rsid w:val="00FE0F4D"/>
    <w:rsid w:val="00FF1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3795247-C3ED-41B5-9F35-CE3276177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 w:type="paragraph" w:customStyle="1" w:styleId="FOFNumbered">
    <w:name w:val="FOF Numbered"/>
    <w:basedOn w:val="Normal"/>
    <w:rsid w:val="006E1604"/>
    <w:pPr>
      <w:numPr>
        <w:numId w:val="17"/>
      </w:numPr>
      <w:spacing w:before="1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B8A4A-9D14-4E72-AC8B-1DCA8F51B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Gross, Katherine</dc:creator>
  <cp:lastModifiedBy>Carrasco, Carlos</cp:lastModifiedBy>
  <cp:revision>10</cp:revision>
  <cp:lastPrinted>2016-02-24T21:24:00Z</cp:lastPrinted>
  <dcterms:created xsi:type="dcterms:W3CDTF">2016-02-24T19:45:00Z</dcterms:created>
  <dcterms:modified xsi:type="dcterms:W3CDTF">2016-02-24T21:40:00Z</dcterms:modified>
</cp:coreProperties>
</file>